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Governance Committee Monthly Report – November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Nov. 3, 2021 – 4 pm; Virtual via Google Meet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Governance Committee Meeting Attendance: Chris Morton, Kari Schwab, Robert Wolfe, Kim, Elizabeth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Retreat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Date: 11/16, 6:30-9pm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AMS accreditation and self-evaluation survey results and insights</w:t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Candidates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Recommendation for # board members: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Tie votes - is that really a bad thing? We may not always have 100% attendance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Nobody can remember why we picked 15 max.  11 is a nice number :-)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Goals: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Legal x2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Management/Facilities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Finance x2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Education/Montessori x2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of board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of children of board members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increase now?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urgency for us today, maybe urgency for lottery for candidates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Risk/Benefit of growing the board?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&gt; number, easier quorum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&gt; number, spread the load, in theory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Too many cooks...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Kevin Hughes -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Attorney, current parent of elementary students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Husband of former board member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Attended at least two meetings, interview complete by Kim and Chris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Brown - Educational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children’s house parent (CH)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PHD research on Montessori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Attended at least two meetings, interviews complete by Robert and Elizabeth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Consensus is that Montessori knowledge, Grant writing, Charter experience is worthwhile and recommendation is we offer Katie the spot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Louis Thomas - Business/Finance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Backburner - no significant need for business/finance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Board Meeting Efficiency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rFonts w:ascii="Roboto" w:cs="Roboto" w:eastAsia="Roboto" w:hAnsi="Roboto"/>
            <w:color w:val="3367d6"/>
            <w:sz w:val="20"/>
            <w:szCs w:val="20"/>
            <w:highlight w:val="white"/>
            <w:u w:val="single"/>
            <w:rtl w:val="0"/>
          </w:rPr>
          <w:t xml:space="preserve">http://carync.iqm2.com/Citizens/Default.aspx</w:t>
        </w:r>
      </w:hyperlink>
      <w:r w:rsidDel="00000000" w:rsidR="00000000" w:rsidRPr="00000000">
        <w:rPr>
          <w:rtl w:val="0"/>
        </w:rPr>
        <w:t xml:space="preserve"> &lt;-example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Consent Agenda?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Accessible through calendar?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we put an autoresponder on president email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Advisory Panel (ex-officio position)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Remove Frank and Elisa?  Probably safe :-)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Employee/Staff member?  A person the faculty votes as their representative, with clear role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PFSA member?  Stephanie or vote a member up as rep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Council president?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Benefit:  An additional (equal) voice, just no vote...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ARTICLE 7 — ADVISORY PANEL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1. General. The Board, by majority vote, may appoint up to two (2)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persons to serve on its Advisory Panel. A member of the Advisory Panel shall serve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 the Advisory Panel until his or her death, resignation, or removal from the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Advisory Panel. A member of the Advisory Panel may be removed with or without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cause at any meeting of the Board by a majority vote of the Board. A vacancy on the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Advisory Panel may be filled by the Board in its discretion.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2. Advisory Panel Authority. The Advisory Panel shall serve as advisors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to the Board. The Advisory Panel shall not have any voting rights. The Advisory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Panel may hold meetings from time to time as requested by the Board.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…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Excluded Persons. The following persons shall not be eligible to serve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on the Board: (i) employees of the charter school and/or academy operated by the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Board; or (ii) any director, officer, or employee of a service provider or management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company who contracts with the Foundation.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Chris Morton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rync.iqm2.com/Citizens/Default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