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January 10, 2022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In attendance: Justin Tosco, Kim Elliott, Liz Macaulay, Kristin Walker, Cathy Constantine, Dwayne Jones, Sydney Bullock, Sara Stinnette, Tayler Mariner,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Jenny Lanzen</w:t>
        </w:r>
      </w:hyperlink>
      <w:r w:rsidDel="00000000" w:rsidR="00000000" w:rsidRPr="00000000">
        <w:rPr>
          <w:rtl w:val="0"/>
        </w:rPr>
        <w:t xml:space="preserve">, Leslie Hamilton, Elizabeth Uzzell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Opener - how was break!?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Discuss MAEC-Equity Audit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MAEC is a government organization - provides materials for school.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Various ways we can complete, when done, MAEC will provide some consultation about next steps (for free!).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Recommend two approaches - survey, as a group in discussion. In discussion it says we should seek consensus.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Broke into small groups. 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Action Items -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</w:pP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Sara Stinnette</w:t>
        </w:r>
      </w:hyperlink>
      <w:r w:rsidDel="00000000" w:rsidR="00000000" w:rsidRPr="00000000">
        <w:rPr>
          <w:rtl w:val="0"/>
        </w:rPr>
        <w:t xml:space="preserve">will create a Google Form for folks to fill in to identify items to discuss. Justin will write an intro. 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Next meeting: February 7, 2022 4:15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lanzen@sterlingmontessori.org" TargetMode="External"/><Relationship Id="rId7" Type="http://schemas.openxmlformats.org/officeDocument/2006/relationships/hyperlink" Target="mailto:sstinnette@sterlingmontesso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